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97BD2">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val="en-US" w:eastAsia="zh-CN"/>
        </w:rPr>
      </w:pPr>
      <w:r>
        <w:rPr>
          <w:sz w:val="60"/>
        </w:rPr>
        <mc:AlternateContent>
          <mc:Choice Requires="wps">
            <w:drawing>
              <wp:anchor distT="0" distB="0" distL="114300" distR="114300" simplePos="0" relativeHeight="251659264" behindDoc="0" locked="0" layoutInCell="1" allowOverlap="1">
                <wp:simplePos x="0" y="0"/>
                <wp:positionH relativeFrom="column">
                  <wp:posOffset>-260985</wp:posOffset>
                </wp:positionH>
                <wp:positionV relativeFrom="paragraph">
                  <wp:posOffset>93345</wp:posOffset>
                </wp:positionV>
                <wp:extent cx="4639945" cy="3876040"/>
                <wp:effectExtent l="0" t="0" r="8255" b="10160"/>
                <wp:wrapNone/>
                <wp:docPr id="3" name="文本框 3"/>
                <wp:cNvGraphicFramePr/>
                <a:graphic xmlns:a="http://schemas.openxmlformats.org/drawingml/2006/main">
                  <a:graphicData uri="http://schemas.microsoft.com/office/word/2010/wordprocessingShape">
                    <wps:wsp>
                      <wps:cNvSpPr txBox="1"/>
                      <wps:spPr>
                        <a:xfrm>
                          <a:off x="0" y="0"/>
                          <a:ext cx="4639945" cy="38760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6BAD83D">
                            <w:pPr>
                              <w:keepNext w:val="0"/>
                              <w:keepLines w:val="0"/>
                              <w:pageBreakBefore w:val="0"/>
                              <w:widowControl w:val="0"/>
                              <w:kinsoku/>
                              <w:wordWrap/>
                              <w:overflowPunct/>
                              <w:topLinePunct w:val="0"/>
                              <w:autoSpaceDE/>
                              <w:autoSpaceDN/>
                              <w:bidi w:val="0"/>
                              <w:adjustRightInd/>
                              <w:snapToGrid/>
                              <w:spacing w:after="0" w:afterLines="100" w:line="360" w:lineRule="auto"/>
                              <w:jc w:val="distribute"/>
                              <w:textAlignment w:val="auto"/>
                              <w:rPr>
                                <w:rFonts w:hint="default" w:ascii="方正小标宋简体" w:hAnsi="方正小标宋简体" w:eastAsia="方正小标宋简体" w:cs="方正小标宋简体"/>
                                <w:color w:val="FF0000"/>
                                <w:w w:val="90"/>
                                <w:sz w:val="60"/>
                                <w:szCs w:val="60"/>
                                <w:lang w:val="en-US" w:eastAsia="zh-CN"/>
                              </w:rPr>
                            </w:pPr>
                            <w:r>
                              <w:rPr>
                                <w:rFonts w:hint="eastAsia" w:ascii="方正小标宋简体" w:hAnsi="方正小标宋简体" w:eastAsia="方正小标宋简体" w:cs="方正小标宋简体"/>
                                <w:color w:val="FF0000"/>
                                <w:w w:val="90"/>
                                <w:sz w:val="60"/>
                                <w:szCs w:val="60"/>
                                <w:lang w:eastAsia="zh-CN"/>
                              </w:rPr>
                              <w:t>泾源县民政</w:t>
                            </w:r>
                            <w:r>
                              <w:rPr>
                                <w:rFonts w:hint="eastAsia" w:ascii="方正小标宋简体" w:hAnsi="方正小标宋简体" w:eastAsia="方正小标宋简体" w:cs="方正小标宋简体"/>
                                <w:color w:val="FF0000"/>
                                <w:w w:val="90"/>
                                <w:sz w:val="60"/>
                                <w:szCs w:val="60"/>
                                <w:lang w:val="en-US" w:eastAsia="zh-CN"/>
                              </w:rPr>
                              <w:t>和退役军人事务局</w:t>
                            </w:r>
                          </w:p>
                          <w:p w14:paraId="16275026">
                            <w:pPr>
                              <w:keepNext w:val="0"/>
                              <w:keepLines w:val="0"/>
                              <w:pageBreakBefore w:val="0"/>
                              <w:widowControl w:val="0"/>
                              <w:kinsoku/>
                              <w:wordWrap/>
                              <w:overflowPunct/>
                              <w:topLinePunct w:val="0"/>
                              <w:autoSpaceDE/>
                              <w:autoSpaceDN/>
                              <w:bidi w:val="0"/>
                              <w:adjustRightInd/>
                              <w:snapToGrid/>
                              <w:spacing w:after="0" w:afterLines="100" w:line="360" w:lineRule="auto"/>
                              <w:jc w:val="left"/>
                              <w:textAlignment w:val="auto"/>
                              <w:rPr>
                                <w:rFonts w:hint="default" w:ascii="方正大标宋简体" w:hAnsi="方正大标宋简体" w:eastAsia="方正大标宋简体" w:cs="方正大标宋简体"/>
                                <w:color w:val="FF0000"/>
                                <w:w w:val="90"/>
                                <w:sz w:val="44"/>
                                <w:szCs w:val="44"/>
                                <w:lang w:val="en-US" w:eastAsia="zh-CN"/>
                              </w:rPr>
                            </w:pPr>
                            <w:r>
                              <w:rPr>
                                <w:rFonts w:hint="eastAsia" w:ascii="方正小标宋简体" w:hAnsi="方正小标宋简体" w:eastAsia="方正小标宋简体" w:cs="方正小标宋简体"/>
                                <w:color w:val="FF0000"/>
                                <w:w w:val="90"/>
                                <w:sz w:val="60"/>
                                <w:szCs w:val="60"/>
                                <w:lang w:eastAsia="zh-CN"/>
                              </w:rPr>
                              <w:t>泾源县</w:t>
                            </w:r>
                            <w:r>
                              <w:rPr>
                                <w:rFonts w:hint="eastAsia" w:ascii="方正小标宋简体" w:hAnsi="方正小标宋简体" w:eastAsia="方正小标宋简体" w:cs="方正小标宋简体"/>
                                <w:color w:val="FF0000"/>
                                <w:w w:val="90"/>
                                <w:sz w:val="60"/>
                                <w:szCs w:val="60"/>
                                <w:lang w:val="en-US" w:eastAsia="zh-CN"/>
                              </w:rPr>
                              <w:t>城乡建设和交通运输局</w:t>
                            </w:r>
                            <w:r>
                              <w:rPr>
                                <w:rFonts w:hint="eastAsia" w:ascii="方正大标宋简体" w:hAnsi="方正大标宋简体" w:eastAsia="方正大标宋简体" w:cs="方正大标宋简体"/>
                                <w:color w:val="FF0000"/>
                                <w:w w:val="90"/>
                                <w:sz w:val="44"/>
                                <w:szCs w:val="44"/>
                                <w:lang w:val="en-US" w:eastAsia="zh-CN"/>
                              </w:rPr>
                              <w:t xml:space="preserve"> </w:t>
                            </w:r>
                          </w:p>
                          <w:p w14:paraId="46D08ED7">
                            <w:pPr>
                              <w:keepNext w:val="0"/>
                              <w:keepLines w:val="0"/>
                              <w:pageBreakBefore w:val="0"/>
                              <w:widowControl w:val="0"/>
                              <w:kinsoku/>
                              <w:wordWrap/>
                              <w:overflowPunct/>
                              <w:topLinePunct w:val="0"/>
                              <w:autoSpaceDE/>
                              <w:autoSpaceDN/>
                              <w:bidi w:val="0"/>
                              <w:adjustRightInd/>
                              <w:snapToGrid/>
                              <w:spacing w:after="0" w:afterLines="100" w:line="360" w:lineRule="auto"/>
                              <w:jc w:val="distribute"/>
                              <w:textAlignment w:val="auto"/>
                              <w:rPr>
                                <w:rFonts w:hint="eastAsia" w:ascii="方正大标宋简体" w:hAnsi="方正大标宋简体" w:eastAsia="方正大标宋简体" w:cs="方正大标宋简体"/>
                                <w:color w:val="FF0000"/>
                                <w:sz w:val="44"/>
                                <w:szCs w:val="44"/>
                                <w:lang w:eastAsia="zh-CN"/>
                              </w:rPr>
                            </w:pPr>
                            <w:r>
                              <w:rPr>
                                <w:rFonts w:hint="eastAsia" w:ascii="方正小标宋简体" w:hAnsi="方正小标宋简体" w:eastAsia="方正小标宋简体" w:cs="方正小标宋简体"/>
                                <w:color w:val="FF0000"/>
                                <w:sz w:val="60"/>
                                <w:szCs w:val="60"/>
                                <w:lang w:eastAsia="zh-CN"/>
                              </w:rPr>
                              <w:t>泾源县卫生健康局</w:t>
                            </w:r>
                          </w:p>
                          <w:p w14:paraId="7E306B0B">
                            <w:pPr>
                              <w:keepNext w:val="0"/>
                              <w:keepLines w:val="0"/>
                              <w:pageBreakBefore w:val="0"/>
                              <w:widowControl w:val="0"/>
                              <w:kinsoku/>
                              <w:wordWrap/>
                              <w:overflowPunct/>
                              <w:topLinePunct w:val="0"/>
                              <w:autoSpaceDE/>
                              <w:autoSpaceDN/>
                              <w:bidi w:val="0"/>
                              <w:adjustRightInd/>
                              <w:snapToGrid/>
                              <w:spacing w:after="0" w:afterLines="100" w:line="360" w:lineRule="auto"/>
                              <w:jc w:val="distribute"/>
                              <w:textAlignment w:val="auto"/>
                              <w:rPr>
                                <w:rFonts w:hint="eastAsia" w:ascii="方正小标宋简体" w:hAnsi="方正小标宋简体" w:eastAsia="方正小标宋简体" w:cs="方正小标宋简体"/>
                                <w:color w:val="FF0000"/>
                                <w:sz w:val="60"/>
                                <w:szCs w:val="60"/>
                                <w:lang w:eastAsia="zh-CN"/>
                              </w:rPr>
                            </w:pPr>
                            <w:r>
                              <w:rPr>
                                <w:rFonts w:hint="eastAsia" w:ascii="方正小标宋简体" w:hAnsi="方正小标宋简体" w:eastAsia="方正小标宋简体" w:cs="方正小标宋简体"/>
                                <w:color w:val="FF0000"/>
                                <w:sz w:val="60"/>
                                <w:szCs w:val="60"/>
                                <w:lang w:eastAsia="zh-CN"/>
                              </w:rPr>
                              <w:t>泾源县市场监督管理局</w:t>
                            </w:r>
                          </w:p>
                          <w:p w14:paraId="6CE31D22">
                            <w:pPr>
                              <w:keepNext w:val="0"/>
                              <w:keepLines w:val="0"/>
                              <w:pageBreakBefore w:val="0"/>
                              <w:widowControl w:val="0"/>
                              <w:kinsoku/>
                              <w:wordWrap/>
                              <w:overflowPunct/>
                              <w:topLinePunct w:val="0"/>
                              <w:autoSpaceDE/>
                              <w:autoSpaceDN/>
                              <w:bidi w:val="0"/>
                              <w:adjustRightInd/>
                              <w:snapToGrid/>
                              <w:spacing w:after="0" w:afterLines="100" w:line="360" w:lineRule="auto"/>
                              <w:jc w:val="distribute"/>
                              <w:textAlignment w:val="auto"/>
                              <w:rPr>
                                <w:rFonts w:hint="eastAsia" w:ascii="方正小标宋简体" w:hAnsi="方正小标宋简体" w:eastAsia="方正小标宋简体" w:cs="方正小标宋简体"/>
                                <w:color w:val="FF0000"/>
                                <w:sz w:val="60"/>
                                <w:szCs w:val="60"/>
                                <w:lang w:eastAsia="zh-CN"/>
                              </w:rPr>
                            </w:pPr>
                            <w:r>
                              <w:rPr>
                                <w:rFonts w:hint="eastAsia" w:ascii="方正小标宋简体" w:hAnsi="方正小标宋简体" w:eastAsia="方正小标宋简体" w:cs="方正小标宋简体"/>
                                <w:color w:val="FF0000"/>
                                <w:sz w:val="60"/>
                                <w:szCs w:val="60"/>
                                <w:lang w:eastAsia="zh-CN"/>
                              </w:rPr>
                              <w:t>泾源县消防救援大队</w:t>
                            </w:r>
                          </w:p>
                          <w:p w14:paraId="13A5E6A3">
                            <w:pPr>
                              <w:rPr>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5pt;margin-top:7.35pt;height:305.2pt;width:365.35pt;z-index:251659264;mso-width-relative:page;mso-height-relative:page;" fillcolor="#FFFFFF [3201]" filled="t" stroked="f" coordsize="21600,21600" o:gfxdata="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aG4Lx1QAAAAoBAAAP&#10;AAAAAAAAAAEAIAAAACIAAABkcnMvZG93bnJldi54bWxQSwECFAAUAAAACACHTuJA/Q/ccVQCAACQ&#10;BAAADgAAAAAAAAABACAAAAAkAQAAZHJzL2Uyb0RvYy54bWxQSwUGAAAAAAYABgBZAQAA6gUAAAAA&#10;">
                <v:fill on="t" focussize="0,0"/>
                <v:stroke on="f" weight="0.5pt"/>
                <v:imagedata o:title=""/>
                <o:lock v:ext="edit" aspectratio="f"/>
                <v:textbox>
                  <w:txbxContent>
                    <w:p w14:paraId="16BAD83D">
                      <w:pPr>
                        <w:keepNext w:val="0"/>
                        <w:keepLines w:val="0"/>
                        <w:pageBreakBefore w:val="0"/>
                        <w:widowControl w:val="0"/>
                        <w:kinsoku/>
                        <w:wordWrap/>
                        <w:overflowPunct/>
                        <w:topLinePunct w:val="0"/>
                        <w:autoSpaceDE/>
                        <w:autoSpaceDN/>
                        <w:bidi w:val="0"/>
                        <w:adjustRightInd/>
                        <w:snapToGrid/>
                        <w:spacing w:after="0" w:afterLines="100" w:line="360" w:lineRule="auto"/>
                        <w:jc w:val="distribute"/>
                        <w:textAlignment w:val="auto"/>
                        <w:rPr>
                          <w:rFonts w:hint="default" w:ascii="方正小标宋简体" w:hAnsi="方正小标宋简体" w:eastAsia="方正小标宋简体" w:cs="方正小标宋简体"/>
                          <w:color w:val="FF0000"/>
                          <w:w w:val="90"/>
                          <w:sz w:val="60"/>
                          <w:szCs w:val="60"/>
                          <w:lang w:val="en-US" w:eastAsia="zh-CN"/>
                        </w:rPr>
                      </w:pPr>
                      <w:r>
                        <w:rPr>
                          <w:rFonts w:hint="eastAsia" w:ascii="方正小标宋简体" w:hAnsi="方正小标宋简体" w:eastAsia="方正小标宋简体" w:cs="方正小标宋简体"/>
                          <w:color w:val="FF0000"/>
                          <w:w w:val="90"/>
                          <w:sz w:val="60"/>
                          <w:szCs w:val="60"/>
                          <w:lang w:eastAsia="zh-CN"/>
                        </w:rPr>
                        <w:t>泾源县民政</w:t>
                      </w:r>
                      <w:r>
                        <w:rPr>
                          <w:rFonts w:hint="eastAsia" w:ascii="方正小标宋简体" w:hAnsi="方正小标宋简体" w:eastAsia="方正小标宋简体" w:cs="方正小标宋简体"/>
                          <w:color w:val="FF0000"/>
                          <w:w w:val="90"/>
                          <w:sz w:val="60"/>
                          <w:szCs w:val="60"/>
                          <w:lang w:val="en-US" w:eastAsia="zh-CN"/>
                        </w:rPr>
                        <w:t>和退役军人事务局</w:t>
                      </w:r>
                    </w:p>
                    <w:p w14:paraId="16275026">
                      <w:pPr>
                        <w:keepNext w:val="0"/>
                        <w:keepLines w:val="0"/>
                        <w:pageBreakBefore w:val="0"/>
                        <w:widowControl w:val="0"/>
                        <w:kinsoku/>
                        <w:wordWrap/>
                        <w:overflowPunct/>
                        <w:topLinePunct w:val="0"/>
                        <w:autoSpaceDE/>
                        <w:autoSpaceDN/>
                        <w:bidi w:val="0"/>
                        <w:adjustRightInd/>
                        <w:snapToGrid/>
                        <w:spacing w:after="0" w:afterLines="100" w:line="360" w:lineRule="auto"/>
                        <w:jc w:val="left"/>
                        <w:textAlignment w:val="auto"/>
                        <w:rPr>
                          <w:rFonts w:hint="default" w:ascii="方正大标宋简体" w:hAnsi="方正大标宋简体" w:eastAsia="方正大标宋简体" w:cs="方正大标宋简体"/>
                          <w:color w:val="FF0000"/>
                          <w:w w:val="90"/>
                          <w:sz w:val="44"/>
                          <w:szCs w:val="44"/>
                          <w:lang w:val="en-US" w:eastAsia="zh-CN"/>
                        </w:rPr>
                      </w:pPr>
                      <w:r>
                        <w:rPr>
                          <w:rFonts w:hint="eastAsia" w:ascii="方正小标宋简体" w:hAnsi="方正小标宋简体" w:eastAsia="方正小标宋简体" w:cs="方正小标宋简体"/>
                          <w:color w:val="FF0000"/>
                          <w:w w:val="90"/>
                          <w:sz w:val="60"/>
                          <w:szCs w:val="60"/>
                          <w:lang w:eastAsia="zh-CN"/>
                        </w:rPr>
                        <w:t>泾源县</w:t>
                      </w:r>
                      <w:r>
                        <w:rPr>
                          <w:rFonts w:hint="eastAsia" w:ascii="方正小标宋简体" w:hAnsi="方正小标宋简体" w:eastAsia="方正小标宋简体" w:cs="方正小标宋简体"/>
                          <w:color w:val="FF0000"/>
                          <w:w w:val="90"/>
                          <w:sz w:val="60"/>
                          <w:szCs w:val="60"/>
                          <w:lang w:val="en-US" w:eastAsia="zh-CN"/>
                        </w:rPr>
                        <w:t>城乡建设和交通运输局</w:t>
                      </w:r>
                      <w:r>
                        <w:rPr>
                          <w:rFonts w:hint="eastAsia" w:ascii="方正大标宋简体" w:hAnsi="方正大标宋简体" w:eastAsia="方正大标宋简体" w:cs="方正大标宋简体"/>
                          <w:color w:val="FF0000"/>
                          <w:w w:val="90"/>
                          <w:sz w:val="44"/>
                          <w:szCs w:val="44"/>
                          <w:lang w:val="en-US" w:eastAsia="zh-CN"/>
                        </w:rPr>
                        <w:t xml:space="preserve"> </w:t>
                      </w:r>
                    </w:p>
                    <w:p w14:paraId="46D08ED7">
                      <w:pPr>
                        <w:keepNext w:val="0"/>
                        <w:keepLines w:val="0"/>
                        <w:pageBreakBefore w:val="0"/>
                        <w:widowControl w:val="0"/>
                        <w:kinsoku/>
                        <w:wordWrap/>
                        <w:overflowPunct/>
                        <w:topLinePunct w:val="0"/>
                        <w:autoSpaceDE/>
                        <w:autoSpaceDN/>
                        <w:bidi w:val="0"/>
                        <w:adjustRightInd/>
                        <w:snapToGrid/>
                        <w:spacing w:after="0" w:afterLines="100" w:line="360" w:lineRule="auto"/>
                        <w:jc w:val="distribute"/>
                        <w:textAlignment w:val="auto"/>
                        <w:rPr>
                          <w:rFonts w:hint="eastAsia" w:ascii="方正大标宋简体" w:hAnsi="方正大标宋简体" w:eastAsia="方正大标宋简体" w:cs="方正大标宋简体"/>
                          <w:color w:val="FF0000"/>
                          <w:sz w:val="44"/>
                          <w:szCs w:val="44"/>
                          <w:lang w:eastAsia="zh-CN"/>
                        </w:rPr>
                      </w:pPr>
                      <w:r>
                        <w:rPr>
                          <w:rFonts w:hint="eastAsia" w:ascii="方正小标宋简体" w:hAnsi="方正小标宋简体" w:eastAsia="方正小标宋简体" w:cs="方正小标宋简体"/>
                          <w:color w:val="FF0000"/>
                          <w:sz w:val="60"/>
                          <w:szCs w:val="60"/>
                          <w:lang w:eastAsia="zh-CN"/>
                        </w:rPr>
                        <w:t>泾源县卫生健康局</w:t>
                      </w:r>
                    </w:p>
                    <w:p w14:paraId="7E306B0B">
                      <w:pPr>
                        <w:keepNext w:val="0"/>
                        <w:keepLines w:val="0"/>
                        <w:pageBreakBefore w:val="0"/>
                        <w:widowControl w:val="0"/>
                        <w:kinsoku/>
                        <w:wordWrap/>
                        <w:overflowPunct/>
                        <w:topLinePunct w:val="0"/>
                        <w:autoSpaceDE/>
                        <w:autoSpaceDN/>
                        <w:bidi w:val="0"/>
                        <w:adjustRightInd/>
                        <w:snapToGrid/>
                        <w:spacing w:after="0" w:afterLines="100" w:line="360" w:lineRule="auto"/>
                        <w:jc w:val="distribute"/>
                        <w:textAlignment w:val="auto"/>
                        <w:rPr>
                          <w:rFonts w:hint="eastAsia" w:ascii="方正小标宋简体" w:hAnsi="方正小标宋简体" w:eastAsia="方正小标宋简体" w:cs="方正小标宋简体"/>
                          <w:color w:val="FF0000"/>
                          <w:sz w:val="60"/>
                          <w:szCs w:val="60"/>
                          <w:lang w:eastAsia="zh-CN"/>
                        </w:rPr>
                      </w:pPr>
                      <w:r>
                        <w:rPr>
                          <w:rFonts w:hint="eastAsia" w:ascii="方正小标宋简体" w:hAnsi="方正小标宋简体" w:eastAsia="方正小标宋简体" w:cs="方正小标宋简体"/>
                          <w:color w:val="FF0000"/>
                          <w:sz w:val="60"/>
                          <w:szCs w:val="60"/>
                          <w:lang w:eastAsia="zh-CN"/>
                        </w:rPr>
                        <w:t>泾源县市场监督管理局</w:t>
                      </w:r>
                    </w:p>
                    <w:p w14:paraId="6CE31D22">
                      <w:pPr>
                        <w:keepNext w:val="0"/>
                        <w:keepLines w:val="0"/>
                        <w:pageBreakBefore w:val="0"/>
                        <w:widowControl w:val="0"/>
                        <w:kinsoku/>
                        <w:wordWrap/>
                        <w:overflowPunct/>
                        <w:topLinePunct w:val="0"/>
                        <w:autoSpaceDE/>
                        <w:autoSpaceDN/>
                        <w:bidi w:val="0"/>
                        <w:adjustRightInd/>
                        <w:snapToGrid/>
                        <w:spacing w:after="0" w:afterLines="100" w:line="360" w:lineRule="auto"/>
                        <w:jc w:val="distribute"/>
                        <w:textAlignment w:val="auto"/>
                        <w:rPr>
                          <w:rFonts w:hint="eastAsia" w:ascii="方正小标宋简体" w:hAnsi="方正小标宋简体" w:eastAsia="方正小标宋简体" w:cs="方正小标宋简体"/>
                          <w:color w:val="FF0000"/>
                          <w:sz w:val="60"/>
                          <w:szCs w:val="60"/>
                          <w:lang w:eastAsia="zh-CN"/>
                        </w:rPr>
                      </w:pPr>
                      <w:r>
                        <w:rPr>
                          <w:rFonts w:hint="eastAsia" w:ascii="方正小标宋简体" w:hAnsi="方正小标宋简体" w:eastAsia="方正小标宋简体" w:cs="方正小标宋简体"/>
                          <w:color w:val="FF0000"/>
                          <w:sz w:val="60"/>
                          <w:szCs w:val="60"/>
                          <w:lang w:eastAsia="zh-CN"/>
                        </w:rPr>
                        <w:t>泾源县消防救援大队</w:t>
                      </w:r>
                    </w:p>
                    <w:p w14:paraId="13A5E6A3">
                      <w:pPr>
                        <w:rPr>
                          <w:color w:val="FF0000"/>
                        </w:rPr>
                      </w:pPr>
                    </w:p>
                  </w:txbxContent>
                </v:textbox>
              </v:shape>
            </w:pict>
          </mc:Fallback>
        </mc:AlternateContent>
      </w:r>
    </w:p>
    <w:p w14:paraId="23D2EE7D">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val="en-US" w:eastAsia="zh-CN"/>
        </w:rPr>
      </w:pPr>
    </w:p>
    <w:p w14:paraId="32B53097">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val="en-US" w:eastAsia="zh-CN"/>
        </w:rPr>
      </w:pPr>
    </w:p>
    <w:p w14:paraId="76D1B8B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val="en-US"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4243070</wp:posOffset>
                </wp:positionH>
                <wp:positionV relativeFrom="paragraph">
                  <wp:posOffset>30480</wp:posOffset>
                </wp:positionV>
                <wp:extent cx="1505585" cy="1009015"/>
                <wp:effectExtent l="0" t="0" r="18415" b="635"/>
                <wp:wrapNone/>
                <wp:docPr id="1" name="文本框 1"/>
                <wp:cNvGraphicFramePr/>
                <a:graphic xmlns:a="http://schemas.openxmlformats.org/drawingml/2006/main">
                  <a:graphicData uri="http://schemas.microsoft.com/office/word/2010/wordprocessingShape">
                    <wps:wsp>
                      <wps:cNvSpPr txBox="1"/>
                      <wps:spPr>
                        <a:xfrm>
                          <a:off x="5814060" y="2830195"/>
                          <a:ext cx="1505585" cy="10090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738FFAB">
                            <w:pPr>
                              <w:keepNext w:val="0"/>
                              <w:keepLines w:val="0"/>
                              <w:pageBreakBefore w:val="0"/>
                              <w:widowControl w:val="0"/>
                              <w:kinsoku/>
                              <w:wordWrap/>
                              <w:overflowPunct/>
                              <w:topLinePunct w:val="0"/>
                              <w:autoSpaceDE/>
                              <w:autoSpaceDN/>
                              <w:bidi w:val="0"/>
                              <w:adjustRightInd/>
                              <w:snapToGrid/>
                              <w:spacing w:after="0" w:afterLines="100" w:line="360" w:lineRule="auto"/>
                              <w:jc w:val="distribute"/>
                              <w:textAlignment w:val="auto"/>
                              <w:rPr>
                                <w:rFonts w:hint="eastAsia" w:ascii="方正小标宋简体" w:hAnsi="方正小标宋简体" w:eastAsia="方正小标宋简体" w:cs="方正小标宋简体"/>
                                <w:color w:val="FF0000"/>
                                <w:sz w:val="96"/>
                                <w:szCs w:val="96"/>
                                <w:lang w:val="en-US" w:eastAsia="zh-CN"/>
                              </w:rPr>
                            </w:pPr>
                            <w:r>
                              <w:rPr>
                                <w:rFonts w:hint="eastAsia" w:ascii="方正小标宋简体" w:hAnsi="方正小标宋简体" w:eastAsia="方正小标宋简体" w:cs="方正小标宋简体"/>
                                <w:b w:val="0"/>
                                <w:bCs w:val="0"/>
                                <w:color w:val="FF0000"/>
                                <w:sz w:val="96"/>
                                <w:szCs w:val="96"/>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1pt;margin-top:2.4pt;height:79.45pt;width:118.55pt;z-index:251660288;mso-width-relative:page;mso-height-relative:page;" fillcolor="#FFFFFF [3201]" filled="t" stroked="f" coordsize="21600,21600" o:gfxdata="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zNRj/V&#10;AAAACQEAAA8AAAAAAAAAAQAgAAAAIgAAAGRycy9kb3ducmV2LnhtbFBLAQIUABQAAAAIAIdO4kAf&#10;qiR1XAIAAJwEAAAOAAAAAAAAAAEAIAAAACQBAABkcnMvZTJvRG9jLnhtbFBLBQYAAAAABgAGAFkB&#10;AADyBQAAAAA=&#10;">
                <v:fill on="t" focussize="0,0"/>
                <v:stroke on="f" weight="0.5pt"/>
                <v:imagedata o:title=""/>
                <o:lock v:ext="edit" aspectratio="f"/>
                <v:textbox>
                  <w:txbxContent>
                    <w:p w14:paraId="2738FFAB">
                      <w:pPr>
                        <w:keepNext w:val="0"/>
                        <w:keepLines w:val="0"/>
                        <w:pageBreakBefore w:val="0"/>
                        <w:widowControl w:val="0"/>
                        <w:kinsoku/>
                        <w:wordWrap/>
                        <w:overflowPunct/>
                        <w:topLinePunct w:val="0"/>
                        <w:autoSpaceDE/>
                        <w:autoSpaceDN/>
                        <w:bidi w:val="0"/>
                        <w:adjustRightInd/>
                        <w:snapToGrid/>
                        <w:spacing w:after="0" w:afterLines="100" w:line="360" w:lineRule="auto"/>
                        <w:jc w:val="distribute"/>
                        <w:textAlignment w:val="auto"/>
                        <w:rPr>
                          <w:rFonts w:hint="eastAsia" w:ascii="方正小标宋简体" w:hAnsi="方正小标宋简体" w:eastAsia="方正小标宋简体" w:cs="方正小标宋简体"/>
                          <w:color w:val="FF0000"/>
                          <w:sz w:val="96"/>
                          <w:szCs w:val="96"/>
                          <w:lang w:val="en-US" w:eastAsia="zh-CN"/>
                        </w:rPr>
                      </w:pPr>
                      <w:r>
                        <w:rPr>
                          <w:rFonts w:hint="eastAsia" w:ascii="方正小标宋简体" w:hAnsi="方正小标宋简体" w:eastAsia="方正小标宋简体" w:cs="方正小标宋简体"/>
                          <w:b w:val="0"/>
                          <w:bCs w:val="0"/>
                          <w:color w:val="FF0000"/>
                          <w:sz w:val="96"/>
                          <w:szCs w:val="96"/>
                          <w:lang w:val="en-US" w:eastAsia="zh-CN"/>
                        </w:rPr>
                        <w:t>文件</w:t>
                      </w:r>
                    </w:p>
                  </w:txbxContent>
                </v:textbox>
              </v:shape>
            </w:pict>
          </mc:Fallback>
        </mc:AlternateContent>
      </w:r>
    </w:p>
    <w:p w14:paraId="5B9F20A3">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val="en-US" w:eastAsia="zh-CN"/>
        </w:rPr>
      </w:pPr>
    </w:p>
    <w:p w14:paraId="38A4C7F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val="en-US" w:eastAsia="zh-CN"/>
        </w:rPr>
      </w:pPr>
    </w:p>
    <w:p w14:paraId="4086EA37">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val="en-US" w:eastAsia="zh-CN"/>
        </w:rPr>
      </w:pPr>
    </w:p>
    <w:p w14:paraId="66B7644B">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val="en-US" w:eastAsia="zh-CN"/>
        </w:rPr>
      </w:pPr>
    </w:p>
    <w:p w14:paraId="3520CAFA">
      <w:pPr>
        <w:jc w:val="left"/>
        <w:rPr>
          <w:rFonts w:hint="eastAsia" w:ascii="方正小标宋简体" w:hAnsi="方正小标宋简体" w:eastAsia="方正小标宋简体" w:cs="方正小标宋简体"/>
          <w:sz w:val="44"/>
          <w:szCs w:val="44"/>
          <w:lang w:val="en-US" w:eastAsia="zh-CN"/>
        </w:rPr>
      </w:pPr>
      <w:r>
        <w:rPr>
          <w:rFonts w:hint="eastAsia" w:ascii="仿宋" w:hAnsi="仿宋" w:eastAsia="仿宋"/>
          <w:color w:val="FF0000"/>
          <w:sz w:val="32"/>
          <w:szCs w:val="32"/>
          <w:u w:val="thick"/>
          <w:lang w:val="en-US" w:eastAsia="zh-CN"/>
        </w:rPr>
        <w:t xml:space="preserve">                                                                          </w:t>
      </w:r>
    </w:p>
    <w:p w14:paraId="68A0222D">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关于印发《泾源县养老机构2024年</w:t>
      </w:r>
    </w:p>
    <w:p w14:paraId="3C6EDFEC">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“双随机、一公开”抽查工作计划》的通知</w:t>
      </w:r>
    </w:p>
    <w:p w14:paraId="0AFE7853">
      <w:pPr>
        <w:rPr>
          <w:rFonts w:hint="eastAsia"/>
          <w:lang w:val="en-US" w:eastAsia="zh-CN"/>
        </w:rPr>
      </w:pPr>
    </w:p>
    <w:p w14:paraId="27BFC08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各有关单位，各养老机构：</w:t>
      </w:r>
    </w:p>
    <w:p w14:paraId="08574B3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sz w:val="32"/>
          <w:szCs w:val="32"/>
          <w:lang w:val="en-US" w:eastAsia="zh-CN"/>
        </w:rPr>
        <w:t>为进一步加强养老机构监督管理，规范养老机构日常行为，强化养老机构事中事后监管，促进养老机构健康有序发展，现将《泾源县养老机构2024年“双随机、一公开”抽查工作计划》印发给你们，请按照文件要求认真抓好贯彻落实。</w:t>
      </w:r>
    </w:p>
    <w:p w14:paraId="17FD9A8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w w:val="95"/>
          <w:sz w:val="32"/>
          <w:szCs w:val="32"/>
          <w:lang w:val="en-US" w:eastAsia="zh-CN"/>
        </w:rPr>
      </w:pPr>
    </w:p>
    <w:p w14:paraId="1AAA6108">
      <w:pPr>
        <w:keepNext w:val="0"/>
        <w:keepLines w:val="0"/>
        <w:pageBreakBefore w:val="0"/>
        <w:widowControl w:val="0"/>
        <w:kinsoku/>
        <w:wordWrap/>
        <w:overflowPunct/>
        <w:topLinePunct w:val="0"/>
        <w:autoSpaceDE/>
        <w:autoSpaceDN/>
        <w:bidi w:val="0"/>
        <w:adjustRightInd/>
        <w:snapToGrid/>
        <w:spacing w:line="640" w:lineRule="exact"/>
        <w:ind w:firstLine="608" w:firstLineChars="200"/>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（此页无正文）</w:t>
      </w:r>
    </w:p>
    <w:p w14:paraId="2E716FE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w w:val="95"/>
          <w:sz w:val="32"/>
          <w:szCs w:val="32"/>
          <w:lang w:val="en-US" w:eastAsia="zh-CN"/>
        </w:rPr>
      </w:pPr>
    </w:p>
    <w:p w14:paraId="5042F2CC">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w w:val="95"/>
          <w:sz w:val="32"/>
          <w:szCs w:val="32"/>
          <w:lang w:val="en-US" w:eastAsia="zh-CN"/>
        </w:rPr>
      </w:pPr>
    </w:p>
    <w:p w14:paraId="6BDCA91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w w:val="95"/>
          <w:sz w:val="32"/>
          <w:szCs w:val="32"/>
          <w:lang w:val="en-US" w:eastAsia="zh-CN"/>
        </w:rPr>
      </w:pPr>
    </w:p>
    <w:p w14:paraId="0BAB564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w w:val="95"/>
          <w:sz w:val="32"/>
          <w:szCs w:val="32"/>
          <w:lang w:val="en-US" w:eastAsia="zh-CN"/>
        </w:rPr>
      </w:pPr>
    </w:p>
    <w:p w14:paraId="5E31CDF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w w:val="93"/>
          <w:sz w:val="32"/>
          <w:szCs w:val="32"/>
          <w:lang w:val="en-US" w:eastAsia="zh-CN"/>
        </w:rPr>
      </w:pPr>
      <w:r>
        <w:rPr>
          <w:rFonts w:hint="eastAsia" w:ascii="仿宋_GB2312" w:hAnsi="仿宋_GB2312" w:eastAsia="仿宋_GB2312" w:cs="仿宋_GB2312"/>
          <w:w w:val="95"/>
          <w:sz w:val="32"/>
          <w:szCs w:val="32"/>
          <w:lang w:val="en-US" w:eastAsia="zh-CN"/>
        </w:rPr>
        <w:t>泾源县民政和退役军人事务局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93"/>
          <w:sz w:val="32"/>
          <w:szCs w:val="32"/>
          <w:lang w:val="en-US" w:eastAsia="zh-CN"/>
        </w:rPr>
        <w:t>泾源县城乡建设和交通运输局</w:t>
      </w:r>
    </w:p>
    <w:p w14:paraId="287669D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w w:val="93"/>
          <w:sz w:val="32"/>
          <w:szCs w:val="32"/>
          <w:lang w:val="en-US" w:eastAsia="zh-CN"/>
        </w:rPr>
      </w:pPr>
    </w:p>
    <w:p w14:paraId="77D78D3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w w:val="93"/>
          <w:sz w:val="32"/>
          <w:szCs w:val="32"/>
          <w:lang w:val="en-US" w:eastAsia="zh-CN"/>
        </w:rPr>
      </w:pPr>
    </w:p>
    <w:p w14:paraId="6E405478">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w w:val="93"/>
          <w:sz w:val="32"/>
          <w:szCs w:val="32"/>
          <w:lang w:val="en-US" w:eastAsia="zh-CN"/>
        </w:rPr>
      </w:pPr>
    </w:p>
    <w:p w14:paraId="6436EE6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w w:val="93"/>
          <w:sz w:val="32"/>
          <w:szCs w:val="32"/>
          <w:lang w:val="en-US" w:eastAsia="zh-CN"/>
        </w:rPr>
      </w:pPr>
    </w:p>
    <w:p w14:paraId="0D3CD8D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泾源县卫生健康局           泾源县市场监督管理局</w:t>
      </w:r>
    </w:p>
    <w:p w14:paraId="0760B82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p>
    <w:p w14:paraId="77FC7A5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p>
    <w:p w14:paraId="50439BD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p>
    <w:p w14:paraId="4F87A03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BFB1EF3">
      <w:pPr>
        <w:keepNext w:val="0"/>
        <w:keepLines w:val="0"/>
        <w:pageBreakBefore w:val="0"/>
        <w:widowControl w:val="0"/>
        <w:kinsoku/>
        <w:wordWrap/>
        <w:overflowPunct/>
        <w:topLinePunct w:val="0"/>
        <w:autoSpaceDE/>
        <w:autoSpaceDN/>
        <w:bidi w:val="0"/>
        <w:adjustRightInd/>
        <w:snapToGrid/>
        <w:spacing w:line="64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泾源县消防救援大队</w:t>
      </w:r>
    </w:p>
    <w:p w14:paraId="519F53E4">
      <w:pPr>
        <w:keepNext w:val="0"/>
        <w:keepLines w:val="0"/>
        <w:pageBreakBefore w:val="0"/>
        <w:widowControl w:val="0"/>
        <w:kinsoku/>
        <w:wordWrap/>
        <w:overflowPunct/>
        <w:topLinePunct w:val="0"/>
        <w:autoSpaceDE/>
        <w:autoSpaceDN/>
        <w:bidi w:val="0"/>
        <w:adjustRightInd/>
        <w:snapToGrid/>
        <w:spacing w:line="64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2024年9月23日</w:t>
      </w:r>
    </w:p>
    <w:p w14:paraId="2CA3A0B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p>
    <w:p w14:paraId="43C3A9D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6781BBA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2DEFC1D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6DA1135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泾源县养老机构2024年“双随机、一公开”抽查工作计划</w:t>
      </w:r>
    </w:p>
    <w:p w14:paraId="5FBEA43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养老机构监督管理，规范养老机构日常行为，按照《自治区人民政府办公厅关于加强养老服务综合监管的实施意见》《宁夏市场监管领域部门联合“双随机、一公开”监管实施细则》《宁夏市场监管领域部门联合随机抽查事项清单（2023 年修订版）》及《关于印发〈泾源县推进养老机构“双随机、一公开”监管工作实施方案〉的通知》要求，全面推行“双随机、一公开”工作机制，强化养老机构事中事后监管，促进养老机构健康有序发展，现就开展2024年度养老机构“双随机、一公开”抽查工作通知如下：</w:t>
      </w:r>
    </w:p>
    <w:p w14:paraId="30D6B8A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一、抽查时间及频次</w:t>
      </w:r>
    </w:p>
    <w:p w14:paraId="1FFB4CE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本年抽查定于2024年1月—11月。随机抽查原则上每年不少于一次，抽查工作将于11月底完成，具体时间由民政和退役军人事务局老龄健康服务中心对接相关部门确定。</w:t>
      </w:r>
    </w:p>
    <w:p w14:paraId="26E041E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二、抽查对象及比例</w:t>
      </w:r>
    </w:p>
    <w:p w14:paraId="2B457BF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本次共抽查泾源县中心敬老院、泾源县六盘山敬老院2家养老机构，每次抽查比例不低于50%。</w:t>
      </w:r>
    </w:p>
    <w:p w14:paraId="7EE65C3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三、抽查事项及内容</w:t>
      </w:r>
    </w:p>
    <w:p w14:paraId="7D9A9CA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2024年随机抽查事项包括对全县所有养老机构安全管理制度、消防、食品安全、特种设备使用、医疗卫生、服务质量、日常管理等方面进行监督检查（详见附件）。</w:t>
      </w:r>
    </w:p>
    <w:p w14:paraId="2F93520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四、抽查方式</w:t>
      </w:r>
    </w:p>
    <w:p w14:paraId="0371797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抽查采取查看资料和现场检查相结合的形式进行。主要通过座谈了解、沟通交流、现场查看、问题反馈、提出整改要求、整改承诺等程序进行。</w:t>
      </w:r>
    </w:p>
    <w:p w14:paraId="113F111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五、抽查人员</w:t>
      </w:r>
    </w:p>
    <w:p w14:paraId="101CF77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执法检查人员从《泾源县行政区域内养老机构执法检查人员名录库》中随机抽取。</w:t>
      </w:r>
    </w:p>
    <w:p w14:paraId="0750E7F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六、抽查结果公示</w:t>
      </w:r>
    </w:p>
    <w:p w14:paraId="26FC8D5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本次抽查活动结束后，将抽查结果信息通过泾源县人民政府网站及宁夏“双随机、一公开”综合监管平台予以公示，主动接受社会监督</w:t>
      </w:r>
      <w:r>
        <w:rPr>
          <w:rFonts w:hint="eastAsia" w:ascii="仿宋_GB2312" w:hAnsi="仿宋_GB2312" w:eastAsia="仿宋_GB2312" w:cs="仿宋_GB2312"/>
          <w:sz w:val="32"/>
          <w:szCs w:val="32"/>
        </w:rPr>
        <w:t>。</w:t>
      </w:r>
    </w:p>
    <w:p w14:paraId="4239B16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七、其他要求</w:t>
      </w:r>
    </w:p>
    <w:p w14:paraId="0187765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抽查检查业务，检查人员不得少于2人，检查人员要拍摄现场检查照片，按照随机抽查事项清单，建立检查台账，将随机抽查事项名称、被检查对象名称、执法检查人员姓名、检查时间、检查内容、检查结果、发现问题、整改落实情况等录入台账，并由被检查对象法定代表人（负责人）签字或者企业、单位盖章确认。</w:t>
      </w:r>
    </w:p>
    <w:p w14:paraId="2EC00DD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pPr>
      <w:r>
        <w:rPr>
          <w:rFonts w:hint="eastAsia" w:ascii="仿宋_GB2312" w:hAnsi="仿宋_GB2312" w:eastAsia="仿宋_GB2312" w:cs="仿宋_GB2312"/>
          <w:sz w:val="32"/>
          <w:szCs w:val="32"/>
          <w:lang w:val="en-US" w:eastAsia="zh-CN"/>
        </w:rPr>
        <w:t>2.对于社会关注度高、投诉举报较多、列入经营异常名录库或有严重违法违规记录情况的市场主体，以及对日常抽查检查中发现的问题，逾期不整改或者重大问题隐患整改不力的，依法列为重点监管对象，要增加随机抽查比例和检查频次。</w:t>
      </w:r>
    </w:p>
    <w:p w14:paraId="6504BF0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p>
    <w:p w14:paraId="06AD3D3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p>
    <w:p w14:paraId="2FC0BADD">
      <w:pPr>
        <w:keepNext w:val="0"/>
        <w:keepLines w:val="0"/>
        <w:pageBreakBefore w:val="0"/>
        <w:widowControl w:val="0"/>
        <w:kinsoku/>
        <w:wordWrap/>
        <w:overflowPunct/>
        <w:topLinePunct w:val="0"/>
        <w:autoSpaceDE/>
        <w:autoSpaceDN/>
        <w:bidi w:val="0"/>
        <w:adjustRightInd/>
        <w:snapToGrid/>
        <w:spacing w:line="640" w:lineRule="exact"/>
        <w:ind w:left="1602" w:leftChars="304" w:hanging="964"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附件：</w:t>
      </w:r>
      <w:r>
        <w:rPr>
          <w:rFonts w:hint="eastAsia" w:ascii="仿宋_GB2312" w:hAnsi="仿宋_GB2312" w:eastAsia="仿宋_GB2312" w:cs="仿宋_GB2312"/>
          <w:sz w:val="32"/>
          <w:szCs w:val="32"/>
          <w:lang w:val="en-US" w:eastAsia="zh-CN"/>
        </w:rPr>
        <w:t>1.泾源县2024年度养老机构随机抽查工作计划表</w:t>
      </w:r>
    </w:p>
    <w:p w14:paraId="211DA544">
      <w:pPr>
        <w:keepNext w:val="0"/>
        <w:keepLines w:val="0"/>
        <w:pageBreakBefore w:val="0"/>
        <w:widowControl w:val="0"/>
        <w:kinsoku/>
        <w:wordWrap/>
        <w:overflowPunct/>
        <w:topLinePunct w:val="0"/>
        <w:autoSpaceDE/>
        <w:autoSpaceDN/>
        <w:bidi w:val="0"/>
        <w:adjustRightInd/>
        <w:snapToGrid/>
        <w:spacing w:line="640" w:lineRule="exact"/>
        <w:ind w:left="1598" w:leftChars="304"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      2.泾源县2024年度养老机构“双随机、一公开”抽查对象</w:t>
      </w:r>
    </w:p>
    <w:p w14:paraId="1620D4E0">
      <w:pPr>
        <w:rPr>
          <w:rFonts w:hint="default"/>
          <w:lang w:val="en-US" w:eastAsia="zh-CN"/>
        </w:rPr>
      </w:pPr>
    </w:p>
    <w:p w14:paraId="188D7419">
      <w:pPr>
        <w:rPr>
          <w:rFonts w:hint="default"/>
          <w:lang w:val="en-US" w:eastAsia="zh-CN"/>
        </w:rPr>
      </w:pPr>
    </w:p>
    <w:p w14:paraId="2E9B1CDF">
      <w:pPr>
        <w:rPr>
          <w:rFonts w:hint="default"/>
          <w:lang w:val="en-US" w:eastAsia="zh-CN"/>
        </w:rPr>
      </w:pPr>
    </w:p>
    <w:p w14:paraId="5EDD94FA">
      <w:pPr>
        <w:rPr>
          <w:rFonts w:hint="default"/>
          <w:lang w:val="en-US" w:eastAsia="zh-CN"/>
        </w:rPr>
      </w:pPr>
    </w:p>
    <w:p w14:paraId="6F72B830">
      <w:pPr>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 xml:space="preserve">  </w:t>
      </w:r>
    </w:p>
    <w:p w14:paraId="0C5D8191">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p w14:paraId="7EA3D4B7">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泾源县2024年度养老机构随机抽查工作计划表</w:t>
      </w:r>
    </w:p>
    <w:tbl>
      <w:tblPr>
        <w:tblStyle w:val="3"/>
        <w:tblW w:w="15751" w:type="dxa"/>
        <w:tblInd w:w="-7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425"/>
        <w:gridCol w:w="3646"/>
        <w:gridCol w:w="1665"/>
        <w:gridCol w:w="1575"/>
        <w:gridCol w:w="1380"/>
        <w:gridCol w:w="1395"/>
        <w:gridCol w:w="1410"/>
        <w:gridCol w:w="1455"/>
        <w:gridCol w:w="870"/>
      </w:tblGrid>
      <w:tr w14:paraId="4BD8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5FA1819E">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425" w:type="dxa"/>
            <w:vAlign w:val="center"/>
          </w:tcPr>
          <w:p w14:paraId="3B9D71D1">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抽查任务名称</w:t>
            </w:r>
          </w:p>
        </w:tc>
        <w:tc>
          <w:tcPr>
            <w:tcW w:w="3646" w:type="dxa"/>
            <w:vAlign w:val="center"/>
          </w:tcPr>
          <w:p w14:paraId="6B2F3128">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抽查事项</w:t>
            </w:r>
          </w:p>
        </w:tc>
        <w:tc>
          <w:tcPr>
            <w:tcW w:w="1665" w:type="dxa"/>
            <w:vAlign w:val="center"/>
          </w:tcPr>
          <w:p w14:paraId="2072C5C1">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发起方式</w:t>
            </w:r>
          </w:p>
        </w:tc>
        <w:tc>
          <w:tcPr>
            <w:tcW w:w="1575" w:type="dxa"/>
            <w:vAlign w:val="center"/>
          </w:tcPr>
          <w:p w14:paraId="57F4EA06">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抽查主体</w:t>
            </w:r>
          </w:p>
        </w:tc>
        <w:tc>
          <w:tcPr>
            <w:tcW w:w="1380" w:type="dxa"/>
            <w:vAlign w:val="center"/>
          </w:tcPr>
          <w:p w14:paraId="5E2D2B5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抽查对象</w:t>
            </w:r>
          </w:p>
        </w:tc>
        <w:tc>
          <w:tcPr>
            <w:tcW w:w="1395" w:type="dxa"/>
            <w:vAlign w:val="center"/>
          </w:tcPr>
          <w:p w14:paraId="54697ED6">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抽查基数</w:t>
            </w:r>
          </w:p>
        </w:tc>
        <w:tc>
          <w:tcPr>
            <w:tcW w:w="1410" w:type="dxa"/>
            <w:vAlign w:val="center"/>
          </w:tcPr>
          <w:p w14:paraId="3B2B82E7">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抽查比例</w:t>
            </w:r>
          </w:p>
        </w:tc>
        <w:tc>
          <w:tcPr>
            <w:tcW w:w="1455" w:type="dxa"/>
            <w:vAlign w:val="center"/>
          </w:tcPr>
          <w:p w14:paraId="662B616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抽查时间</w:t>
            </w:r>
          </w:p>
        </w:tc>
        <w:tc>
          <w:tcPr>
            <w:tcW w:w="870" w:type="dxa"/>
            <w:vAlign w:val="center"/>
          </w:tcPr>
          <w:p w14:paraId="177784F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备注</w:t>
            </w:r>
          </w:p>
        </w:tc>
      </w:tr>
      <w:tr w14:paraId="6BB1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5969B5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425" w:type="dxa"/>
            <w:vAlign w:val="center"/>
          </w:tcPr>
          <w:p w14:paraId="594881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对养老服务机构的监督检查</w:t>
            </w:r>
          </w:p>
        </w:tc>
        <w:tc>
          <w:tcPr>
            <w:tcW w:w="3646" w:type="dxa"/>
            <w:vAlign w:val="center"/>
          </w:tcPr>
          <w:p w14:paraId="33512E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对全区养老机构的名称、住所、法定代表人或者主要负责人、服务范围等载明事项的变化情况通过书面检查或者实地查验等方式进行事中事后监督检查；对养老机构消防安全、食品卫生、医疗卫生、建筑安全等情况进行监督检查。</w:t>
            </w:r>
          </w:p>
        </w:tc>
        <w:tc>
          <w:tcPr>
            <w:tcW w:w="1665" w:type="dxa"/>
            <w:vAlign w:val="center"/>
          </w:tcPr>
          <w:p w14:paraId="32F974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县民政和退役军人事务局发起</w:t>
            </w:r>
          </w:p>
        </w:tc>
        <w:tc>
          <w:tcPr>
            <w:tcW w:w="1575" w:type="dxa"/>
            <w:vAlign w:val="center"/>
          </w:tcPr>
          <w:p w14:paraId="04609B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县民政和退役军人事务局、卫生健康局、市场监督管理局、消防救援大队</w:t>
            </w:r>
          </w:p>
        </w:tc>
        <w:tc>
          <w:tcPr>
            <w:tcW w:w="1380" w:type="dxa"/>
            <w:vAlign w:val="center"/>
          </w:tcPr>
          <w:p w14:paraId="0FB05E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全县养老服务机构</w:t>
            </w:r>
          </w:p>
        </w:tc>
        <w:tc>
          <w:tcPr>
            <w:tcW w:w="1395" w:type="dxa"/>
            <w:vAlign w:val="center"/>
          </w:tcPr>
          <w:p w14:paraId="42197D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bookmarkStart w:id="0" w:name="_GoBack"/>
            <w:bookmarkEnd w:id="0"/>
            <w:r>
              <w:rPr>
                <w:rFonts w:hint="eastAsia" w:ascii="仿宋_GB2312" w:hAnsi="仿宋_GB2312" w:eastAsia="仿宋_GB2312" w:cs="仿宋_GB2312"/>
                <w:sz w:val="28"/>
                <w:szCs w:val="28"/>
                <w:vertAlign w:val="baseline"/>
                <w:lang w:val="en-US" w:eastAsia="zh-CN"/>
              </w:rPr>
              <w:t>2</w:t>
            </w:r>
          </w:p>
        </w:tc>
        <w:tc>
          <w:tcPr>
            <w:tcW w:w="1410" w:type="dxa"/>
            <w:vAlign w:val="center"/>
          </w:tcPr>
          <w:p w14:paraId="095CA4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100%</w:t>
            </w:r>
          </w:p>
        </w:tc>
        <w:tc>
          <w:tcPr>
            <w:tcW w:w="1455" w:type="dxa"/>
            <w:vAlign w:val="center"/>
          </w:tcPr>
          <w:p w14:paraId="147DC4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2024年1月至2024年11月</w:t>
            </w:r>
          </w:p>
        </w:tc>
        <w:tc>
          <w:tcPr>
            <w:tcW w:w="870" w:type="dxa"/>
            <w:vAlign w:val="center"/>
          </w:tcPr>
          <w:p w14:paraId="3A84B4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bl>
    <w:p w14:paraId="728BC85D">
      <w:pPr>
        <w:rPr>
          <w:rFonts w:hint="default"/>
          <w:lang w:val="en-US" w:eastAsia="zh-CN"/>
        </w:rPr>
      </w:pPr>
    </w:p>
    <w:p w14:paraId="5EE9E187">
      <w:pPr>
        <w:rPr>
          <w:rFonts w:hint="default"/>
          <w:lang w:val="en-US" w:eastAsia="zh-CN"/>
        </w:rPr>
      </w:pPr>
    </w:p>
    <w:p w14:paraId="27ECE9F9">
      <w:pPr>
        <w:rPr>
          <w:rFonts w:hint="default"/>
          <w:lang w:val="en-US" w:eastAsia="zh-CN"/>
        </w:rPr>
      </w:pPr>
    </w:p>
    <w:p w14:paraId="380111E9">
      <w:pPr>
        <w:rPr>
          <w:rFonts w:hint="default"/>
          <w:lang w:val="en-US" w:eastAsia="zh-CN"/>
        </w:rPr>
      </w:pPr>
    </w:p>
    <w:p w14:paraId="3C7D1C7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642B334C">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泾源县2024年度养老机构“双随机、一公开”抽查对象</w:t>
      </w:r>
    </w:p>
    <w:tbl>
      <w:tblPr>
        <w:tblStyle w:val="3"/>
        <w:tblW w:w="15675" w:type="dxa"/>
        <w:tblInd w:w="-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2951"/>
        <w:gridCol w:w="3240"/>
        <w:gridCol w:w="1860"/>
        <w:gridCol w:w="3735"/>
        <w:gridCol w:w="1710"/>
        <w:gridCol w:w="1350"/>
      </w:tblGrid>
      <w:tr w14:paraId="1D37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9" w:type="dxa"/>
            <w:vAlign w:val="center"/>
          </w:tcPr>
          <w:p w14:paraId="2A885726">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2951" w:type="dxa"/>
            <w:vAlign w:val="center"/>
          </w:tcPr>
          <w:p w14:paraId="5EF787B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检查机构</w:t>
            </w:r>
          </w:p>
        </w:tc>
        <w:tc>
          <w:tcPr>
            <w:tcW w:w="3240" w:type="dxa"/>
            <w:vAlign w:val="center"/>
          </w:tcPr>
          <w:p w14:paraId="493F11F0">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统一社会信用代码</w:t>
            </w:r>
          </w:p>
        </w:tc>
        <w:tc>
          <w:tcPr>
            <w:tcW w:w="1860" w:type="dxa"/>
            <w:vAlign w:val="center"/>
          </w:tcPr>
          <w:p w14:paraId="732EA4FA">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机构性质</w:t>
            </w:r>
          </w:p>
        </w:tc>
        <w:tc>
          <w:tcPr>
            <w:tcW w:w="3735" w:type="dxa"/>
            <w:vAlign w:val="center"/>
          </w:tcPr>
          <w:p w14:paraId="60F32200">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地址</w:t>
            </w:r>
          </w:p>
        </w:tc>
        <w:tc>
          <w:tcPr>
            <w:tcW w:w="1710" w:type="dxa"/>
            <w:vAlign w:val="center"/>
          </w:tcPr>
          <w:p w14:paraId="281064A3">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负责人</w:t>
            </w:r>
          </w:p>
        </w:tc>
        <w:tc>
          <w:tcPr>
            <w:tcW w:w="1350" w:type="dxa"/>
            <w:vAlign w:val="center"/>
          </w:tcPr>
          <w:p w14:paraId="44B31C00">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备注</w:t>
            </w:r>
          </w:p>
        </w:tc>
      </w:tr>
      <w:tr w14:paraId="7D09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9" w:type="dxa"/>
            <w:vAlign w:val="center"/>
          </w:tcPr>
          <w:p w14:paraId="2C0DC3E4">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951" w:type="dxa"/>
            <w:vAlign w:val="center"/>
          </w:tcPr>
          <w:p w14:paraId="6327F303">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泾源县中心敬老院</w:t>
            </w:r>
          </w:p>
        </w:tc>
        <w:tc>
          <w:tcPr>
            <w:tcW w:w="3240" w:type="dxa"/>
            <w:vAlign w:val="center"/>
          </w:tcPr>
          <w:p w14:paraId="24E9F506">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12642225MB12332520</w:t>
            </w:r>
          </w:p>
        </w:tc>
        <w:tc>
          <w:tcPr>
            <w:tcW w:w="1860" w:type="dxa"/>
            <w:vAlign w:val="center"/>
          </w:tcPr>
          <w:p w14:paraId="34349E85">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公建公营</w:t>
            </w:r>
          </w:p>
        </w:tc>
        <w:tc>
          <w:tcPr>
            <w:tcW w:w="3735" w:type="dxa"/>
            <w:vAlign w:val="center"/>
          </w:tcPr>
          <w:p w14:paraId="2F3651BB">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泾源县香水镇百泉街</w:t>
            </w:r>
          </w:p>
        </w:tc>
        <w:tc>
          <w:tcPr>
            <w:tcW w:w="1710" w:type="dxa"/>
            <w:vAlign w:val="center"/>
          </w:tcPr>
          <w:p w14:paraId="2D653E84">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杨树新</w:t>
            </w:r>
          </w:p>
        </w:tc>
        <w:tc>
          <w:tcPr>
            <w:tcW w:w="1350" w:type="dxa"/>
            <w:vAlign w:val="center"/>
          </w:tcPr>
          <w:p w14:paraId="4049EA7C">
            <w:pPr>
              <w:jc w:val="center"/>
              <w:rPr>
                <w:rFonts w:hint="eastAsia" w:ascii="仿宋_GB2312" w:hAnsi="仿宋_GB2312" w:eastAsia="仿宋_GB2312" w:cs="仿宋_GB2312"/>
                <w:sz w:val="28"/>
                <w:szCs w:val="28"/>
                <w:vertAlign w:val="baseline"/>
                <w:lang w:val="en-US" w:eastAsia="zh-CN"/>
              </w:rPr>
            </w:pPr>
          </w:p>
        </w:tc>
      </w:tr>
      <w:tr w14:paraId="4F0A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9" w:type="dxa"/>
            <w:vAlign w:val="center"/>
          </w:tcPr>
          <w:p w14:paraId="22E27D45">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2951" w:type="dxa"/>
            <w:vAlign w:val="center"/>
          </w:tcPr>
          <w:p w14:paraId="69E16A0E">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泾源县六盘山敬老院</w:t>
            </w:r>
          </w:p>
        </w:tc>
        <w:tc>
          <w:tcPr>
            <w:tcW w:w="3240" w:type="dxa"/>
            <w:vAlign w:val="center"/>
          </w:tcPr>
          <w:p w14:paraId="7E6046D1">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12642225MB1291727Q</w:t>
            </w:r>
          </w:p>
        </w:tc>
        <w:tc>
          <w:tcPr>
            <w:tcW w:w="1860" w:type="dxa"/>
            <w:vAlign w:val="center"/>
          </w:tcPr>
          <w:p w14:paraId="0EC898FC">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公建公营</w:t>
            </w:r>
          </w:p>
        </w:tc>
        <w:tc>
          <w:tcPr>
            <w:tcW w:w="3735" w:type="dxa"/>
            <w:vAlign w:val="center"/>
          </w:tcPr>
          <w:p w14:paraId="22E8815E">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泾源县六盘山镇什字村</w:t>
            </w:r>
          </w:p>
        </w:tc>
        <w:tc>
          <w:tcPr>
            <w:tcW w:w="1710" w:type="dxa"/>
            <w:vAlign w:val="center"/>
          </w:tcPr>
          <w:p w14:paraId="1F14FDAB">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王宏</w:t>
            </w:r>
          </w:p>
        </w:tc>
        <w:tc>
          <w:tcPr>
            <w:tcW w:w="1350" w:type="dxa"/>
            <w:vAlign w:val="center"/>
          </w:tcPr>
          <w:p w14:paraId="5D3F59DC">
            <w:pPr>
              <w:jc w:val="center"/>
              <w:rPr>
                <w:rFonts w:hint="eastAsia" w:ascii="仿宋_GB2312" w:hAnsi="仿宋_GB2312" w:eastAsia="仿宋_GB2312" w:cs="仿宋_GB2312"/>
                <w:sz w:val="28"/>
                <w:szCs w:val="28"/>
                <w:vertAlign w:val="baseline"/>
                <w:lang w:val="en-US" w:eastAsia="zh-CN"/>
              </w:rPr>
            </w:pPr>
          </w:p>
        </w:tc>
      </w:tr>
    </w:tbl>
    <w:p w14:paraId="6D576F39">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NTAwNjgzYjdhNTMwMTBiYjM4OGVmODJlMWYwMDEifQ=="/>
  </w:docVars>
  <w:rsids>
    <w:rsidRoot w:val="07A97FCA"/>
    <w:rsid w:val="07A97FCA"/>
    <w:rsid w:val="0C431F3E"/>
    <w:rsid w:val="0D083FB4"/>
    <w:rsid w:val="1393255B"/>
    <w:rsid w:val="1E3B1FCF"/>
    <w:rsid w:val="1E7E2B16"/>
    <w:rsid w:val="1E8429D3"/>
    <w:rsid w:val="1F72557D"/>
    <w:rsid w:val="201B730B"/>
    <w:rsid w:val="267C2356"/>
    <w:rsid w:val="270E64D3"/>
    <w:rsid w:val="28A10C81"/>
    <w:rsid w:val="2DB269A2"/>
    <w:rsid w:val="3A736762"/>
    <w:rsid w:val="3C095063"/>
    <w:rsid w:val="445F7F16"/>
    <w:rsid w:val="4F466F82"/>
    <w:rsid w:val="508640C4"/>
    <w:rsid w:val="52743154"/>
    <w:rsid w:val="55FF6E63"/>
    <w:rsid w:val="6237494C"/>
    <w:rsid w:val="6B1B42E7"/>
    <w:rsid w:val="6E2F0A19"/>
    <w:rsid w:val="6FD651C7"/>
    <w:rsid w:val="75CD4430"/>
    <w:rsid w:val="76F07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1500</Words>
  <Characters>1595</Characters>
  <Lines>0</Lines>
  <Paragraphs>0</Paragraphs>
  <TotalTime>20</TotalTime>
  <ScaleCrop>false</ScaleCrop>
  <LinksUpToDate>false</LinksUpToDate>
  <CharactersWithSpaces>1687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2024-09-11T00:56:00Z</dcterms:created>
  <dc:creator>落 </dc:creator>
  <cp:lastModifiedBy>落 </cp:lastModifiedBy>
  <cp:lastPrinted>2024-09-25T00:33:26Z</cp:lastPrinted>
  <dcterms:modified xsi:type="dcterms:W3CDTF">2024-09-25T00:34:10Z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E88D24E758CC4CB28BC0BA4584CA140B_11</vt:lpwstr>
  </property>
</Properties>
</file>